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</w:p>
    <w:p w:rsid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  <w:r>
        <w:rPr>
          <w:noProof/>
        </w:rPr>
        <w:drawing>
          <wp:inline distT="0" distB="0" distL="0" distR="0">
            <wp:extent cx="2581275" cy="243672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043" cy="244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</w:p>
    <w:p w:rsid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  <w:bookmarkStart w:id="0" w:name="_GoBack"/>
      <w:bookmarkEnd w:id="0"/>
    </w:p>
    <w:p w:rsidR="00A81A93" w:rsidRP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b/>
          <w:color w:val="555555"/>
          <w:szCs w:val="20"/>
        </w:rPr>
      </w:pPr>
      <w:r w:rsidRPr="00A81A93">
        <w:rPr>
          <w:rFonts w:ascii="Calibri" w:hAnsi="Calibri" w:cs="Calibri"/>
          <w:b/>
          <w:color w:val="555555"/>
          <w:szCs w:val="20"/>
        </w:rPr>
        <w:t>Telma Curado</w:t>
      </w:r>
    </w:p>
    <w:p w:rsid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</w:p>
    <w:p w:rsidR="00A81A93" w:rsidRP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  <w:r w:rsidRPr="00A81A93">
        <w:rPr>
          <w:rFonts w:ascii="Calibri" w:hAnsi="Calibri" w:cs="Calibri"/>
          <w:color w:val="555555"/>
          <w:sz w:val="22"/>
          <w:szCs w:val="20"/>
        </w:rPr>
        <w:t>Revisora Oficial de Contas e sócia gerente da TCC &amp; ASSOCIADOS, é docente em várias instituições de ensino superior, ao nível da licenciatura e mestrado, nas suas áreas de especialização.</w:t>
      </w:r>
    </w:p>
    <w:p w:rsidR="00A81A93" w:rsidRP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  <w:r w:rsidRPr="00A81A93">
        <w:rPr>
          <w:rFonts w:ascii="Calibri" w:hAnsi="Calibri" w:cs="Calibri"/>
          <w:color w:val="555555"/>
          <w:sz w:val="22"/>
          <w:szCs w:val="20"/>
        </w:rPr>
        <w:t>Com mais de 15 anos de experiência em consultoria fiscal, económica e financeira o foco e determinação na defesa dos interesses de cada Cliente é uma imagem de marca.</w:t>
      </w:r>
    </w:p>
    <w:p w:rsidR="00A81A93" w:rsidRP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  <w:r w:rsidRPr="00A81A93">
        <w:rPr>
          <w:rFonts w:ascii="Calibri" w:hAnsi="Calibri" w:cs="Calibri"/>
          <w:color w:val="555555"/>
          <w:sz w:val="22"/>
          <w:szCs w:val="20"/>
        </w:rPr>
        <w:t>Desenvolve trabalhos de revisão legal de contas, auditoria e consultoria fiscal e financeira em entidades públicas e privadas.</w:t>
      </w:r>
    </w:p>
    <w:p w:rsidR="00A81A93" w:rsidRPr="00A81A93" w:rsidRDefault="00A81A93" w:rsidP="00A81A93">
      <w:pPr>
        <w:pStyle w:val="NormalWeb"/>
        <w:shd w:val="clear" w:color="auto" w:fill="F4F4F4"/>
        <w:spacing w:after="0" w:line="360" w:lineRule="auto"/>
        <w:jc w:val="both"/>
        <w:rPr>
          <w:rFonts w:ascii="Calibri" w:hAnsi="Calibri" w:cs="Calibri"/>
          <w:color w:val="555555"/>
          <w:sz w:val="22"/>
          <w:szCs w:val="20"/>
        </w:rPr>
      </w:pPr>
      <w:r w:rsidRPr="00A81A93">
        <w:rPr>
          <w:rFonts w:ascii="Calibri" w:hAnsi="Calibri" w:cs="Calibri"/>
          <w:color w:val="555555"/>
          <w:sz w:val="22"/>
          <w:szCs w:val="20"/>
        </w:rPr>
        <w:t>Licenciada em Economia pelo ISEG – UTL com especialização em fiscalidade pelo IDEFE – ISEG e Finanças pelo INDEG – ISCTE, com a qualificação de Revisora Oficial de Contas (n.º 1443) e Técnica Oficial de Contas (n.º 61534)</w:t>
      </w:r>
    </w:p>
    <w:p w:rsidR="00A81A93" w:rsidRDefault="00A81A93"/>
    <w:p w:rsidR="00A81A93" w:rsidRDefault="00A81A93"/>
    <w:sectPr w:rsidR="00A81A93" w:rsidSect="001E5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1A93"/>
    <w:rsid w:val="001E5904"/>
    <w:rsid w:val="004A1B4F"/>
    <w:rsid w:val="00A81A93"/>
    <w:rsid w:val="00DB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A93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B4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Calhau Trigacheiro</dc:creator>
  <cp:lastModifiedBy>Paulo</cp:lastModifiedBy>
  <cp:revision>2</cp:revision>
  <dcterms:created xsi:type="dcterms:W3CDTF">2019-02-08T11:05:00Z</dcterms:created>
  <dcterms:modified xsi:type="dcterms:W3CDTF">2019-02-08T11:05:00Z</dcterms:modified>
</cp:coreProperties>
</file>